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77" w:rsidRPr="008F4023" w:rsidRDefault="00666E13" w:rsidP="00172277">
      <w:pPr>
        <w:spacing w:line="240" w:lineRule="atLeast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>Изменения № 3</w:t>
      </w:r>
      <w:r w:rsidR="00172277" w:rsidRPr="008F4023">
        <w:rPr>
          <w:b/>
          <w:sz w:val="24"/>
          <w:szCs w:val="24"/>
        </w:rPr>
        <w:t xml:space="preserve"> </w:t>
      </w:r>
      <w:r w:rsidR="00172277" w:rsidRPr="00E20165">
        <w:rPr>
          <w:b/>
          <w:sz w:val="24"/>
          <w:szCs w:val="24"/>
        </w:rPr>
        <w:t xml:space="preserve">от </w:t>
      </w:r>
      <w:r w:rsidR="00E20165" w:rsidRPr="00E20165">
        <w:rPr>
          <w:b/>
          <w:sz w:val="24"/>
          <w:szCs w:val="24"/>
        </w:rPr>
        <w:t>28</w:t>
      </w:r>
      <w:r w:rsidR="00172277" w:rsidRPr="00E20165">
        <w:rPr>
          <w:b/>
          <w:sz w:val="24"/>
          <w:szCs w:val="24"/>
        </w:rPr>
        <w:t xml:space="preserve"> </w:t>
      </w:r>
      <w:r w:rsidR="00E20165" w:rsidRPr="00E20165">
        <w:rPr>
          <w:b/>
          <w:sz w:val="24"/>
          <w:szCs w:val="24"/>
        </w:rPr>
        <w:t xml:space="preserve">апреля </w:t>
      </w:r>
      <w:r w:rsidR="00172277" w:rsidRPr="00E20165">
        <w:rPr>
          <w:b/>
          <w:sz w:val="24"/>
          <w:szCs w:val="24"/>
        </w:rPr>
        <w:t>2017</w:t>
      </w:r>
      <w:r w:rsidR="00172277" w:rsidRPr="008F4023">
        <w:rPr>
          <w:b/>
          <w:sz w:val="24"/>
          <w:szCs w:val="24"/>
        </w:rPr>
        <w:t xml:space="preserve"> года в Проектную Декларацию общества с ограниченной ответственностью «З</w:t>
      </w:r>
      <w:r w:rsidR="00E20165">
        <w:rPr>
          <w:b/>
          <w:sz w:val="24"/>
          <w:szCs w:val="24"/>
        </w:rPr>
        <w:t>ЛАТА</w:t>
      </w:r>
      <w:r w:rsidR="00172277" w:rsidRPr="008F4023">
        <w:rPr>
          <w:b/>
          <w:sz w:val="24"/>
          <w:szCs w:val="24"/>
        </w:rPr>
        <w:t>» по строительству объекта</w:t>
      </w:r>
      <w:r w:rsidR="00172277" w:rsidRPr="00E5514A">
        <w:rPr>
          <w:b/>
          <w:szCs w:val="24"/>
        </w:rPr>
        <w:t xml:space="preserve"> </w:t>
      </w:r>
      <w:r w:rsidR="00172277" w:rsidRPr="008F4023">
        <w:rPr>
          <w:rFonts w:eastAsia="Calibri"/>
          <w:b/>
          <w:bCs/>
          <w:sz w:val="24"/>
          <w:szCs w:val="24"/>
        </w:rPr>
        <w:t>«Реконструкция многоквартирного жилого дома расположенного по адресу:</w:t>
      </w:r>
    </w:p>
    <w:p w:rsidR="00172277" w:rsidRPr="008F4023" w:rsidRDefault="00172277" w:rsidP="00172277">
      <w:pPr>
        <w:spacing w:line="240" w:lineRule="atLeast"/>
        <w:jc w:val="center"/>
        <w:rPr>
          <w:rFonts w:eastAsia="Calibri"/>
          <w:b/>
          <w:bCs/>
          <w:sz w:val="24"/>
          <w:szCs w:val="24"/>
        </w:rPr>
      </w:pPr>
      <w:r w:rsidRPr="008F4023">
        <w:rPr>
          <w:rFonts w:eastAsia="Calibri"/>
          <w:b/>
          <w:bCs/>
          <w:sz w:val="24"/>
          <w:szCs w:val="24"/>
        </w:rPr>
        <w:t xml:space="preserve"> г. Рязань, ул. Горького, д. 43»</w:t>
      </w:r>
    </w:p>
    <w:p w:rsidR="00504D4E" w:rsidRDefault="00504D4E" w:rsidP="00E5514A">
      <w:pPr>
        <w:pStyle w:val="a6"/>
        <w:rPr>
          <w:szCs w:val="24"/>
        </w:rPr>
      </w:pPr>
      <w:proofErr w:type="gramStart"/>
      <w:r w:rsidRPr="00C40000">
        <w:rPr>
          <w:szCs w:val="24"/>
        </w:rPr>
        <w:t xml:space="preserve">В связи с </w:t>
      </w:r>
      <w:r w:rsidR="009B790B">
        <w:rPr>
          <w:szCs w:val="24"/>
        </w:rPr>
        <w:t>изменениями финансового результата</w:t>
      </w:r>
      <w:r w:rsidR="009515B0">
        <w:rPr>
          <w:szCs w:val="24"/>
        </w:rPr>
        <w:t xml:space="preserve"> </w:t>
      </w:r>
      <w:r w:rsidR="00172277">
        <w:rPr>
          <w:szCs w:val="24"/>
        </w:rPr>
        <w:t>за первый квартал 2017</w:t>
      </w:r>
      <w:r w:rsidR="008A3FC9">
        <w:rPr>
          <w:szCs w:val="24"/>
        </w:rPr>
        <w:t xml:space="preserve"> года</w:t>
      </w:r>
      <w:r w:rsidR="009515B0">
        <w:rPr>
          <w:szCs w:val="24"/>
        </w:rPr>
        <w:t>,</w:t>
      </w:r>
      <w:r w:rsidR="009B790B">
        <w:rPr>
          <w:szCs w:val="24"/>
        </w:rPr>
        <w:t xml:space="preserve"> </w:t>
      </w:r>
      <w:r w:rsidR="009515B0">
        <w:rPr>
          <w:szCs w:val="24"/>
        </w:rPr>
        <w:t>р</w:t>
      </w:r>
      <w:r w:rsidR="009B790B">
        <w:rPr>
          <w:szCs w:val="24"/>
        </w:rPr>
        <w:t>азмера дебиторской и кредиторской задолженности,</w:t>
      </w:r>
      <w:r w:rsidR="00A06745">
        <w:rPr>
          <w:szCs w:val="24"/>
        </w:rPr>
        <w:t xml:space="preserve"> сменой Страховщика,</w:t>
      </w:r>
      <w:r>
        <w:rPr>
          <w:szCs w:val="24"/>
        </w:rPr>
        <w:t xml:space="preserve"> </w:t>
      </w:r>
      <w:r w:rsidR="00E5514A">
        <w:rPr>
          <w:szCs w:val="24"/>
        </w:rPr>
        <w:t>ООО «</w:t>
      </w:r>
      <w:r w:rsidR="00E20165">
        <w:rPr>
          <w:szCs w:val="24"/>
        </w:rPr>
        <w:t>ЗЛАТА</w:t>
      </w:r>
      <w:r w:rsidR="00E5514A">
        <w:rPr>
          <w:szCs w:val="24"/>
        </w:rPr>
        <w:t>» публикует следующие изменения в соответствии с требованиями, установленными</w:t>
      </w:r>
      <w:r w:rsidR="009B790B">
        <w:rPr>
          <w:szCs w:val="24"/>
        </w:rPr>
        <w:t xml:space="preserve"> </w:t>
      </w:r>
      <w:proofErr w:type="spellStart"/>
      <w:r w:rsidR="009B790B">
        <w:rPr>
          <w:szCs w:val="24"/>
        </w:rPr>
        <w:t>п.п</w:t>
      </w:r>
      <w:proofErr w:type="spellEnd"/>
      <w:r w:rsidR="009B790B">
        <w:rPr>
          <w:szCs w:val="24"/>
        </w:rPr>
        <w:t>. 4,5</w:t>
      </w:r>
      <w:r w:rsidR="00EC62E6">
        <w:rPr>
          <w:szCs w:val="24"/>
        </w:rPr>
        <w:t xml:space="preserve"> ст. 19,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="00EC62E6">
        <w:rPr>
          <w:szCs w:val="24"/>
        </w:rPr>
        <w:t xml:space="preserve"> РФ»:</w:t>
      </w:r>
      <w:r w:rsidR="00E5514A">
        <w:rPr>
          <w:szCs w:val="24"/>
        </w:rPr>
        <w:t xml:space="preserve"> </w:t>
      </w:r>
    </w:p>
    <w:p w:rsidR="008A3FC9" w:rsidRPr="006A628F" w:rsidRDefault="008A3FC9" w:rsidP="00E5514A">
      <w:pPr>
        <w:pStyle w:val="a6"/>
        <w:rPr>
          <w:szCs w:val="24"/>
        </w:rPr>
      </w:pPr>
    </w:p>
    <w:p w:rsidR="00504D4E" w:rsidRPr="006A628F" w:rsidRDefault="00EC62E6" w:rsidP="00EC62E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разделе</w:t>
      </w:r>
      <w:r w:rsidR="00504D4E" w:rsidRPr="006A628F">
        <w:rPr>
          <w:b w:val="0"/>
          <w:sz w:val="24"/>
          <w:szCs w:val="24"/>
        </w:rPr>
        <w:t xml:space="preserve"> «Информации о </w:t>
      </w:r>
      <w:r w:rsidR="009515B0">
        <w:rPr>
          <w:b w:val="0"/>
          <w:sz w:val="24"/>
          <w:szCs w:val="24"/>
        </w:rPr>
        <w:t>Застройщике</w:t>
      </w:r>
      <w:r w:rsidR="00504D4E"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изменить </w:t>
      </w:r>
      <w:r w:rsidR="00504D4E">
        <w:rPr>
          <w:b w:val="0"/>
          <w:sz w:val="24"/>
          <w:szCs w:val="24"/>
        </w:rPr>
        <w:t>и изложить указанный пункт,</w:t>
      </w:r>
      <w:r w:rsidR="00504D4E"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1028D1" w:rsidRPr="001028D1" w:rsidTr="00887896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6.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 xml:space="preserve"> </w:t>
            </w:r>
            <w:r w:rsidRPr="009515B0">
              <w:rPr>
                <w:b/>
                <w:bCs/>
                <w:sz w:val="22"/>
                <w:szCs w:val="22"/>
              </w:rPr>
              <w:t>Финансовый результат текущего года, размер кредиторской  и дебиторской задолженности на день опубликования проектной декларации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E20165" w:rsidRPr="00E20165" w:rsidRDefault="00E20165" w:rsidP="00E20165">
            <w:pPr>
              <w:rPr>
                <w:rFonts w:eastAsia="Calibri"/>
                <w:sz w:val="22"/>
                <w:szCs w:val="22"/>
              </w:rPr>
            </w:pPr>
            <w:r w:rsidRPr="00E20165">
              <w:rPr>
                <w:rFonts w:eastAsia="Calibri"/>
                <w:sz w:val="22"/>
                <w:szCs w:val="22"/>
              </w:rPr>
              <w:t>Финансовый результат – 1000 рублей;</w:t>
            </w:r>
          </w:p>
          <w:p w:rsidR="00E20165" w:rsidRPr="00964D15" w:rsidRDefault="00E20165" w:rsidP="00E20165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E20165" w:rsidRPr="00E20165" w:rsidRDefault="00E20165" w:rsidP="00E20165">
            <w:pPr>
              <w:rPr>
                <w:rFonts w:eastAsia="Calibri"/>
                <w:sz w:val="24"/>
                <w:szCs w:val="24"/>
              </w:rPr>
            </w:pPr>
            <w:r w:rsidRPr="00E20165">
              <w:rPr>
                <w:rFonts w:eastAsia="Calibri"/>
                <w:sz w:val="22"/>
                <w:szCs w:val="22"/>
              </w:rPr>
              <w:t>Размер кредиторской задолженности – 4923237  рублей;</w:t>
            </w:r>
          </w:p>
          <w:p w:rsidR="00E20165" w:rsidRPr="00E20165" w:rsidRDefault="00E20165" w:rsidP="00E20165">
            <w:pPr>
              <w:rPr>
                <w:rFonts w:eastAsia="Calibri"/>
                <w:sz w:val="24"/>
                <w:szCs w:val="24"/>
              </w:rPr>
            </w:pPr>
            <w:r w:rsidRPr="00E20165">
              <w:rPr>
                <w:rFonts w:eastAsia="Calibri"/>
                <w:sz w:val="22"/>
                <w:szCs w:val="22"/>
              </w:rPr>
              <w:t> </w:t>
            </w:r>
          </w:p>
          <w:p w:rsidR="00504D4E" w:rsidRPr="001028D1" w:rsidRDefault="00E20165" w:rsidP="00E20165">
            <w:pPr>
              <w:rPr>
                <w:szCs w:val="24"/>
              </w:rPr>
            </w:pPr>
            <w:r w:rsidRPr="00E20165">
              <w:rPr>
                <w:rFonts w:eastAsia="Calibri"/>
                <w:sz w:val="22"/>
                <w:szCs w:val="22"/>
              </w:rPr>
              <w:t>Размер дебиторской задолженности – 3297695 рублей</w:t>
            </w:r>
          </w:p>
        </w:tc>
      </w:tr>
    </w:tbl>
    <w:p w:rsidR="00A06745" w:rsidRPr="00A06745" w:rsidRDefault="00A06745" w:rsidP="00A06745">
      <w:pPr>
        <w:pStyle w:val="a9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 w:rsidRPr="00A06745">
        <w:rPr>
          <w:sz w:val="24"/>
          <w:szCs w:val="24"/>
        </w:rPr>
        <w:t xml:space="preserve">В разделе «Информации о проекте строительства» изменить и изложить </w:t>
      </w:r>
    </w:p>
    <w:p w:rsidR="00A06745" w:rsidRPr="00A06745" w:rsidRDefault="00A06745" w:rsidP="00A06745">
      <w:pPr>
        <w:pStyle w:val="a9"/>
        <w:tabs>
          <w:tab w:val="left" w:pos="851"/>
        </w:tabs>
        <w:ind w:left="1080"/>
        <w:rPr>
          <w:sz w:val="24"/>
          <w:szCs w:val="24"/>
        </w:rPr>
      </w:pPr>
      <w:r w:rsidRPr="00A06745">
        <w:rPr>
          <w:sz w:val="24"/>
          <w:szCs w:val="24"/>
        </w:rPr>
        <w:t>указанный пункт, в следующей редакции:</w:t>
      </w: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A06745" w:rsidRPr="001028D1" w:rsidTr="00AC61EE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A06745" w:rsidRPr="00382B93" w:rsidRDefault="00A06745" w:rsidP="00AC61EE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A06745" w:rsidRPr="00827D2C" w:rsidRDefault="00A06745" w:rsidP="00AC61EE">
            <w:r w:rsidRPr="00827D2C">
              <w:rPr>
                <w:b/>
                <w:bCs/>
                <w:sz w:val="22"/>
                <w:szCs w:val="22"/>
              </w:rPr>
              <w:t xml:space="preserve"> Способ обеспечений исполнений обязательств Застройщика по договорам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A06745" w:rsidRPr="00C70BAA" w:rsidRDefault="00A06745" w:rsidP="00AC61EE">
            <w:r w:rsidRPr="00C70BAA">
              <w:rPr>
                <w:sz w:val="22"/>
                <w:szCs w:val="22"/>
              </w:rPr>
              <w:t>В соответствии с  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</w:t>
            </w:r>
          </w:p>
          <w:p w:rsidR="00A06745" w:rsidRPr="00C70BAA" w:rsidRDefault="00A06745" w:rsidP="00AC61EE">
            <w:r w:rsidRPr="00C70BAA">
              <w:rPr>
                <w:sz w:val="22"/>
                <w:szCs w:val="22"/>
              </w:rPr>
              <w:t>- залог – в порядке, установленном статьями 13-15 Закона;</w:t>
            </w:r>
          </w:p>
          <w:p w:rsidR="00A06745" w:rsidRPr="00C70BAA" w:rsidRDefault="00A06745" w:rsidP="00AC61EE">
            <w:pPr>
              <w:rPr>
                <w:sz w:val="22"/>
                <w:szCs w:val="22"/>
              </w:rPr>
            </w:pPr>
            <w:r w:rsidRPr="00C70BAA">
              <w:rPr>
                <w:sz w:val="22"/>
                <w:szCs w:val="22"/>
              </w:rPr>
              <w:t xml:space="preserve"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статьей 15.2 Закона. </w:t>
            </w:r>
          </w:p>
          <w:p w:rsidR="00A06745" w:rsidRPr="00C70BAA" w:rsidRDefault="00A06745" w:rsidP="00AC61EE">
            <w:pPr>
              <w:rPr>
                <w:sz w:val="22"/>
                <w:szCs w:val="22"/>
              </w:rPr>
            </w:pPr>
            <w:bookmarkStart w:id="0" w:name="_GoBack"/>
            <w:r w:rsidRPr="00B74B76">
              <w:rPr>
                <w:b/>
                <w:sz w:val="22"/>
                <w:szCs w:val="22"/>
              </w:rPr>
              <w:t xml:space="preserve">Страховщик: </w:t>
            </w: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C70BA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ПРОМИНСТРАХ</w:t>
            </w:r>
            <w:r w:rsidRPr="00C70BAA">
              <w:rPr>
                <w:sz w:val="22"/>
                <w:szCs w:val="22"/>
              </w:rPr>
              <w:t>»</w:t>
            </w:r>
          </w:p>
          <w:p w:rsidR="00A06745" w:rsidRPr="00C70BAA" w:rsidRDefault="00A06745" w:rsidP="00AC61EE">
            <w:pPr>
              <w:rPr>
                <w:sz w:val="22"/>
                <w:szCs w:val="22"/>
              </w:rPr>
            </w:pPr>
            <w:r w:rsidRPr="00C70BAA">
              <w:rPr>
                <w:sz w:val="22"/>
                <w:szCs w:val="22"/>
              </w:rPr>
              <w:t xml:space="preserve">Адрес (место нахождения) </w:t>
            </w:r>
            <w:r w:rsidR="00D30BA9">
              <w:rPr>
                <w:sz w:val="22"/>
                <w:szCs w:val="22"/>
              </w:rPr>
              <w:t>123610</w:t>
            </w:r>
            <w:r w:rsidRPr="00C70BAA">
              <w:rPr>
                <w:sz w:val="22"/>
                <w:szCs w:val="22"/>
              </w:rPr>
              <w:t xml:space="preserve">, г. Москва,  ул. </w:t>
            </w:r>
            <w:r>
              <w:rPr>
                <w:sz w:val="22"/>
                <w:szCs w:val="22"/>
              </w:rPr>
              <w:t>Набережная Краснопресненская, д. 12, оф. 1705-1707</w:t>
            </w:r>
            <w:r w:rsidRPr="00C70BAA">
              <w:rPr>
                <w:sz w:val="22"/>
                <w:szCs w:val="22"/>
              </w:rPr>
              <w:t xml:space="preserve">, ОГРН </w:t>
            </w:r>
            <w:r>
              <w:rPr>
                <w:sz w:val="22"/>
                <w:szCs w:val="22"/>
              </w:rPr>
              <w:t>1027700355935</w:t>
            </w:r>
            <w:r w:rsidRPr="00C70BAA">
              <w:rPr>
                <w:sz w:val="22"/>
                <w:szCs w:val="22"/>
              </w:rPr>
              <w:t xml:space="preserve">, ИНН </w:t>
            </w:r>
            <w:r>
              <w:rPr>
                <w:sz w:val="22"/>
                <w:szCs w:val="22"/>
              </w:rPr>
              <w:t>7704216908</w:t>
            </w:r>
            <w:r w:rsidRPr="00C70BAA">
              <w:rPr>
                <w:sz w:val="22"/>
                <w:szCs w:val="22"/>
              </w:rPr>
              <w:t>.</w:t>
            </w:r>
          </w:p>
          <w:p w:rsidR="00A06745" w:rsidRPr="00A02BA0" w:rsidRDefault="00A06745" w:rsidP="00AC61EE">
            <w:pPr>
              <w:rPr>
                <w:color w:val="FF0000"/>
              </w:rPr>
            </w:pPr>
            <w:r w:rsidRPr="00C70BAA">
              <w:rPr>
                <w:sz w:val="22"/>
                <w:szCs w:val="22"/>
              </w:rPr>
              <w:t>Генеральный договор 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</w:t>
            </w:r>
            <w:r>
              <w:rPr>
                <w:sz w:val="22"/>
                <w:szCs w:val="22"/>
              </w:rPr>
              <w:t>тия в долевом строительстве № 35-164345/2016</w:t>
            </w:r>
            <w:bookmarkEnd w:id="0"/>
          </w:p>
        </w:tc>
      </w:tr>
    </w:tbl>
    <w:p w:rsidR="00504D4E" w:rsidRDefault="00504D4E" w:rsidP="00421AF7">
      <w:pPr>
        <w:pStyle w:val="a3"/>
        <w:jc w:val="both"/>
        <w:rPr>
          <w:b w:val="0"/>
          <w:sz w:val="24"/>
          <w:szCs w:val="24"/>
        </w:rPr>
      </w:pPr>
    </w:p>
    <w:p w:rsidR="00504D4E" w:rsidRPr="001028D1" w:rsidRDefault="00EC62E6" w:rsidP="00504D4E">
      <w:pPr>
        <w:pStyle w:val="a3"/>
        <w:ind w:firstLine="720"/>
        <w:jc w:val="both"/>
        <w:rPr>
          <w:b w:val="0"/>
          <w:bCs/>
          <w:i/>
          <w:sz w:val="24"/>
          <w:szCs w:val="24"/>
        </w:rPr>
      </w:pPr>
      <w:r w:rsidRPr="00EC62E6">
        <w:rPr>
          <w:b w:val="0"/>
          <w:i/>
          <w:sz w:val="24"/>
          <w:szCs w:val="24"/>
        </w:rPr>
        <w:t>Изменения в проектную декларацию в данных редакциях</w:t>
      </w:r>
      <w:r w:rsidR="00504D4E" w:rsidRPr="00EC62E6">
        <w:rPr>
          <w:b w:val="0"/>
          <w:i/>
          <w:sz w:val="24"/>
          <w:szCs w:val="24"/>
        </w:rPr>
        <w:t xml:space="preserve"> </w:t>
      </w:r>
      <w:r w:rsidRPr="00EC62E6">
        <w:rPr>
          <w:b w:val="0"/>
          <w:i/>
          <w:sz w:val="24"/>
          <w:szCs w:val="24"/>
        </w:rPr>
        <w:t>опубликованы в сети Интернет на сайте</w:t>
      </w:r>
      <w:r w:rsidRPr="00EC62E6">
        <w:rPr>
          <w:b w:val="0"/>
          <w:bCs/>
          <w:i/>
          <w:sz w:val="24"/>
          <w:szCs w:val="24"/>
        </w:rPr>
        <w:t xml:space="preserve"> </w:t>
      </w:r>
      <w:r w:rsidRPr="00EC62E6">
        <w:rPr>
          <w:b w:val="0"/>
          <w:bCs/>
          <w:i/>
          <w:sz w:val="24"/>
          <w:szCs w:val="24"/>
          <w:lang w:val="en-US"/>
        </w:rPr>
        <w:t>www</w:t>
      </w:r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marmax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ru</w:t>
      </w:r>
      <w:proofErr w:type="spellEnd"/>
      <w:r w:rsidRPr="001028D1">
        <w:rPr>
          <w:b w:val="0"/>
          <w:bCs/>
          <w:i/>
          <w:sz w:val="24"/>
          <w:szCs w:val="24"/>
        </w:rPr>
        <w:t>.</w:t>
      </w:r>
      <w:r w:rsidRPr="001028D1">
        <w:rPr>
          <w:b w:val="0"/>
          <w:i/>
          <w:sz w:val="24"/>
          <w:szCs w:val="24"/>
        </w:rPr>
        <w:t xml:space="preserve"> </w:t>
      </w:r>
      <w:r w:rsidR="00E20165">
        <w:rPr>
          <w:b w:val="0"/>
          <w:bCs/>
          <w:i/>
          <w:sz w:val="24"/>
          <w:szCs w:val="24"/>
        </w:rPr>
        <w:t>«2</w:t>
      </w:r>
      <w:r w:rsidR="008A3FC9">
        <w:rPr>
          <w:b w:val="0"/>
          <w:bCs/>
          <w:i/>
          <w:sz w:val="24"/>
          <w:szCs w:val="24"/>
        </w:rPr>
        <w:t>» мая</w:t>
      </w:r>
      <w:r w:rsidR="00A06745">
        <w:rPr>
          <w:b w:val="0"/>
          <w:bCs/>
          <w:i/>
          <w:sz w:val="24"/>
          <w:szCs w:val="24"/>
        </w:rPr>
        <w:t xml:space="preserve">  2017</w:t>
      </w:r>
      <w:r w:rsidR="00504D4E" w:rsidRPr="001028D1">
        <w:rPr>
          <w:b w:val="0"/>
          <w:bCs/>
          <w:i/>
          <w:sz w:val="24"/>
          <w:szCs w:val="24"/>
        </w:rPr>
        <w:t xml:space="preserve"> года</w:t>
      </w:r>
      <w:r w:rsidRPr="001028D1">
        <w:rPr>
          <w:b w:val="0"/>
          <w:bCs/>
          <w:i/>
          <w:sz w:val="24"/>
          <w:szCs w:val="24"/>
        </w:rPr>
        <w:t>.</w:t>
      </w:r>
      <w:r w:rsidR="00504D4E" w:rsidRPr="001028D1">
        <w:rPr>
          <w:b w:val="0"/>
          <w:bCs/>
          <w:i/>
          <w:sz w:val="24"/>
          <w:szCs w:val="24"/>
        </w:rPr>
        <w:t xml:space="preserve"> </w:t>
      </w:r>
    </w:p>
    <w:p w:rsidR="00504D4E" w:rsidRPr="006A628F" w:rsidRDefault="00504D4E" w:rsidP="00504D4E">
      <w:pPr>
        <w:pStyle w:val="a5"/>
        <w:widowControl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sectPr w:rsidR="00504D4E" w:rsidRPr="006A628F" w:rsidSect="00AB6CAB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0827ED"/>
    <w:rsid w:val="001028D1"/>
    <w:rsid w:val="00172277"/>
    <w:rsid w:val="003125F6"/>
    <w:rsid w:val="00421AF7"/>
    <w:rsid w:val="00504D4E"/>
    <w:rsid w:val="00666E13"/>
    <w:rsid w:val="006D0B08"/>
    <w:rsid w:val="00735EC1"/>
    <w:rsid w:val="00797CDB"/>
    <w:rsid w:val="008A3FC9"/>
    <w:rsid w:val="008D2822"/>
    <w:rsid w:val="009515B0"/>
    <w:rsid w:val="009B790B"/>
    <w:rsid w:val="00A06745"/>
    <w:rsid w:val="00A07D52"/>
    <w:rsid w:val="00B353EB"/>
    <w:rsid w:val="00D30BA9"/>
    <w:rsid w:val="00DE6D6C"/>
    <w:rsid w:val="00E20165"/>
    <w:rsid w:val="00E5514A"/>
    <w:rsid w:val="00EB2C7B"/>
    <w:rsid w:val="00E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  <w:style w:type="paragraph" w:styleId="a9">
    <w:name w:val="List Paragraph"/>
    <w:basedOn w:val="a"/>
    <w:uiPriority w:val="34"/>
    <w:qFormat/>
    <w:rsid w:val="00A0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  <w:style w:type="paragraph" w:styleId="a9">
    <w:name w:val="List Paragraph"/>
    <w:basedOn w:val="a"/>
    <w:uiPriority w:val="34"/>
    <w:qFormat/>
    <w:rsid w:val="00A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2017-05-02T15:20:00Z</cp:lastPrinted>
  <dcterms:created xsi:type="dcterms:W3CDTF">2016-04-26T16:26:00Z</dcterms:created>
  <dcterms:modified xsi:type="dcterms:W3CDTF">2017-05-02T15:20:00Z</dcterms:modified>
</cp:coreProperties>
</file>